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743"/>
        <w:gridCol w:w="1742"/>
        <w:gridCol w:w="3486"/>
      </w:tblGrid>
      <w:tr w:rsidR="009C7EC0" w14:paraId="5DC1A9C3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226E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651D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4B25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</w:tr>
      <w:tr w:rsidR="009C7EC0" w14:paraId="09B81501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A50" w14:textId="31764B45" w:rsidR="009C7EC0" w:rsidRDefault="00B951B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70BEE346">
              <w:rPr>
                <w:sz w:val="32"/>
                <w:szCs w:val="32"/>
              </w:rPr>
              <w:t xml:space="preserve">AQA GCSE </w:t>
            </w:r>
            <w:r w:rsidR="00437ACE" w:rsidRPr="70BEE346">
              <w:rPr>
                <w:sz w:val="32"/>
                <w:szCs w:val="32"/>
              </w:rPr>
              <w:t xml:space="preserve">Combined Science </w:t>
            </w:r>
          </w:p>
          <w:p w14:paraId="672A6659" w14:textId="77777777" w:rsidR="009C7EC0" w:rsidRDefault="009C7EC0">
            <w:pPr>
              <w:spacing w:after="0" w:line="240" w:lineRule="auto"/>
            </w:pP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5D93" w14:textId="487683B8" w:rsidR="009C7EC0" w:rsidRDefault="00B3169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70BEE346">
              <w:rPr>
                <w:sz w:val="32"/>
                <w:szCs w:val="32"/>
              </w:rPr>
              <w:t xml:space="preserve">Year </w:t>
            </w:r>
            <w:r w:rsidR="00B951BE" w:rsidRPr="70BEE346">
              <w:rPr>
                <w:sz w:val="32"/>
                <w:szCs w:val="32"/>
              </w:rPr>
              <w:t>1</w:t>
            </w:r>
            <w:r w:rsidR="0378B40D" w:rsidRPr="70BEE346">
              <w:rPr>
                <w:sz w:val="32"/>
                <w:szCs w:val="32"/>
              </w:rPr>
              <w:t>0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8F9F" w14:textId="75A3C197" w:rsidR="004E1C70" w:rsidRDefault="0031477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4E1C70">
              <w:rPr>
                <w:sz w:val="32"/>
                <w:szCs w:val="32"/>
              </w:rPr>
              <w:t>(</w:t>
            </w:r>
            <w:r w:rsidR="00565C69">
              <w:rPr>
                <w:sz w:val="32"/>
                <w:szCs w:val="32"/>
              </w:rPr>
              <w:t>Weeks 1-</w:t>
            </w:r>
            <w:r w:rsidR="0095218C">
              <w:rPr>
                <w:sz w:val="32"/>
                <w:szCs w:val="32"/>
              </w:rPr>
              <w:t>3</w:t>
            </w:r>
            <w:r w:rsidR="004E1C70">
              <w:rPr>
                <w:sz w:val="32"/>
                <w:szCs w:val="32"/>
              </w:rPr>
              <w:t>)</w:t>
            </w:r>
          </w:p>
        </w:tc>
      </w:tr>
      <w:tr w:rsidR="009C7EC0" w14:paraId="6C4A963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B562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Topic/s</w:t>
            </w:r>
          </w:p>
        </w:tc>
      </w:tr>
      <w:tr w:rsidR="009C7EC0" w14:paraId="3851E0B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77777777" w:rsidR="009C7EC0" w:rsidRDefault="009C7EC0">
            <w:pPr>
              <w:spacing w:after="0" w:line="240" w:lineRule="auto"/>
            </w:pPr>
          </w:p>
          <w:p w14:paraId="01AFADBE" w14:textId="2D60E4AF" w:rsidR="00113417" w:rsidRDefault="00323B89" w:rsidP="00323B8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B1: </w:t>
            </w:r>
            <w:r w:rsidR="00B951BE" w:rsidRPr="35594C87">
              <w:rPr>
                <w:sz w:val="32"/>
                <w:szCs w:val="32"/>
              </w:rPr>
              <w:t>Cell Biology</w:t>
            </w:r>
            <w:r w:rsidR="5E063018" w:rsidRPr="35594C87">
              <w:rPr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  <w:p w14:paraId="5DAB6C7B" w14:textId="02E8DEC8" w:rsidR="004E1C70" w:rsidRDefault="004E1C70" w:rsidP="004E1C70">
            <w:pPr>
              <w:spacing w:after="0" w:line="240" w:lineRule="auto"/>
              <w:jc w:val="center"/>
            </w:pPr>
          </w:p>
        </w:tc>
      </w:tr>
      <w:tr w:rsidR="009C7EC0" w14:paraId="21C9FC82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DDAB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  <w:lang w:val="en-US"/>
              </w:rPr>
              <w:t>Content (Intent)</w:t>
            </w:r>
          </w:p>
        </w:tc>
      </w:tr>
      <w:tr w:rsidR="009C7EC0" w14:paraId="515E3A73" w14:textId="77777777" w:rsidTr="002B5A95">
        <w:trPr>
          <w:trHeight w:val="260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D03A" w14:textId="77777777" w:rsidR="009C7EC0" w:rsidRDefault="00B951BE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Prior Learning (Topic/s): </w:t>
            </w:r>
          </w:p>
        </w:tc>
      </w:tr>
      <w:tr w:rsidR="009C7EC0" w14:paraId="4A921CE6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4897" w14:textId="6864C67B" w:rsidR="000B3DE3" w:rsidRPr="004E1C70" w:rsidRDefault="00B951B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E1C70">
              <w:rPr>
                <w:sz w:val="32"/>
                <w:szCs w:val="32"/>
              </w:rPr>
              <w:t>KS3 Science Curriculum</w:t>
            </w:r>
            <w:r w:rsidR="005F0833" w:rsidRPr="004E1C70">
              <w:rPr>
                <w:sz w:val="32"/>
                <w:szCs w:val="32"/>
              </w:rPr>
              <w:t>:</w:t>
            </w:r>
            <w:r w:rsidR="0031477F">
              <w:rPr>
                <w:sz w:val="32"/>
                <w:szCs w:val="32"/>
              </w:rPr>
              <w:t xml:space="preserve"> </w:t>
            </w:r>
            <w:r w:rsidR="000B3DE3" w:rsidRPr="004E1C70">
              <w:rPr>
                <w:sz w:val="32"/>
                <w:szCs w:val="32"/>
              </w:rPr>
              <w:t>Cells &amp; Respiration</w:t>
            </w:r>
          </w:p>
          <w:p w14:paraId="6A05A809" w14:textId="77777777" w:rsidR="009C7EC0" w:rsidRDefault="009C7EC0" w:rsidP="004E1C70">
            <w:pPr>
              <w:spacing w:after="0" w:line="240" w:lineRule="auto"/>
              <w:jc w:val="center"/>
            </w:pPr>
          </w:p>
        </w:tc>
      </w:tr>
      <w:tr w:rsidR="009C7EC0" w14:paraId="504DE08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B74E" w14:textId="77777777" w:rsidR="009C7EC0" w:rsidRDefault="00B951BE">
            <w:pPr>
              <w:spacing w:after="0" w:line="240" w:lineRule="auto"/>
            </w:pPr>
            <w:r>
              <w:rPr>
                <w:b/>
                <w:color w:val="FFFFFF"/>
                <w:sz w:val="24"/>
                <w:szCs w:val="24"/>
              </w:rPr>
              <w:t>Future Learning (Topic/s):</w:t>
            </w:r>
          </w:p>
        </w:tc>
      </w:tr>
      <w:tr w:rsidR="009C7EC0" w14:paraId="2297D9AD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1480" w14:textId="782DDD35" w:rsidR="009C7EC0" w:rsidRPr="00D205BE" w:rsidRDefault="00520E9A" w:rsidP="004E1C70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32"/>
                <w:szCs w:val="32"/>
              </w:rPr>
            </w:pPr>
            <w:r w:rsidRPr="00D205BE">
              <w:rPr>
                <w:rFonts w:asciiTheme="minorHAnsi" w:eastAsia="Verdana" w:hAnsiTheme="minorHAnsi" w:cstheme="minorHAnsi"/>
                <w:sz w:val="32"/>
                <w:szCs w:val="32"/>
              </w:rPr>
              <w:t xml:space="preserve">B2: </w:t>
            </w:r>
            <w:r w:rsidR="004E1C70" w:rsidRPr="00D205BE">
              <w:rPr>
                <w:rFonts w:asciiTheme="minorHAnsi" w:eastAsia="Verdana" w:hAnsiTheme="minorHAnsi" w:cstheme="minorHAnsi"/>
                <w:sz w:val="32"/>
                <w:szCs w:val="32"/>
              </w:rPr>
              <w:t>Organisation</w:t>
            </w:r>
          </w:p>
          <w:p w14:paraId="41C8F396" w14:textId="59BC9DB5" w:rsidR="004E1C70" w:rsidRDefault="004E1C70" w:rsidP="004E1C70">
            <w:pPr>
              <w:spacing w:after="0" w:line="240" w:lineRule="auto"/>
              <w:jc w:val="center"/>
            </w:pPr>
          </w:p>
        </w:tc>
      </w:tr>
      <w:tr w:rsidR="009C7EC0" w14:paraId="28348DBE" w14:textId="77777777" w:rsidTr="002B5A95"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B389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Knowledge or Skills will be Taught?  (Implementation)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4305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How will your Understanding be Assessed and Recorded (Impact)</w:t>
            </w:r>
          </w:p>
        </w:tc>
      </w:tr>
      <w:tr w:rsidR="009C7EC0" w14:paraId="7C692EA0" w14:textId="77777777" w:rsidTr="002B5A95">
        <w:trPr>
          <w:trHeight w:val="260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7AD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2D7F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On Going Assessment</w:t>
            </w:r>
          </w:p>
        </w:tc>
      </w:tr>
      <w:tr w:rsidR="009C7EC0" w14:paraId="469593EF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0A73" w14:textId="550CF565" w:rsidR="00F701FE" w:rsidRDefault="00F701FE" w:rsidP="00EF235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F701FE">
              <w:t>Prokaryotic Cells &amp; Eukaryotic Cells</w:t>
            </w:r>
          </w:p>
          <w:p w14:paraId="6D2F0206" w14:textId="552752C5" w:rsidR="00A704B3" w:rsidRPr="00F701FE" w:rsidRDefault="00A704B3" w:rsidP="00EF235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Animal cells &amp; Plant cells</w:t>
            </w:r>
          </w:p>
          <w:p w14:paraId="39DDB5E3" w14:textId="2F58159E" w:rsidR="00F701FE" w:rsidRDefault="00F701FE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Cell Specialisation</w:t>
            </w:r>
          </w:p>
          <w:p w14:paraId="61420A57" w14:textId="5E10ACDE" w:rsidR="00A704B3" w:rsidRDefault="00A704B3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Cell differentiation</w:t>
            </w:r>
          </w:p>
          <w:p w14:paraId="1D929A73" w14:textId="158F2315" w:rsidR="00F701FE" w:rsidRDefault="00F701FE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Microscopy</w:t>
            </w:r>
          </w:p>
          <w:p w14:paraId="2F41AB61" w14:textId="609F42E1" w:rsidR="00A704B3" w:rsidRDefault="00A704B3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Chromosomes</w:t>
            </w:r>
          </w:p>
          <w:p w14:paraId="58D5A07B" w14:textId="7FE15339" w:rsidR="00A704B3" w:rsidRDefault="00A704B3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Mitosis and the cell cycle</w:t>
            </w:r>
          </w:p>
          <w:p w14:paraId="300494C7" w14:textId="04FA6B76" w:rsidR="00F701FE" w:rsidRDefault="00F701FE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Stem Cells</w:t>
            </w:r>
          </w:p>
          <w:p w14:paraId="15F9397A" w14:textId="3CC3E605" w:rsidR="00F701FE" w:rsidRDefault="00F701FE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Diffusion</w:t>
            </w:r>
          </w:p>
          <w:p w14:paraId="425C233C" w14:textId="7961A694" w:rsidR="00F701FE" w:rsidRDefault="00F701FE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Osmosis</w:t>
            </w:r>
          </w:p>
          <w:p w14:paraId="72A3D3EC" w14:textId="4C69F57F" w:rsidR="0095218C" w:rsidRPr="004E1C70" w:rsidRDefault="00F701FE" w:rsidP="0015412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Active Transport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E0BC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Starter Quiz/Exit quiz</w:t>
            </w:r>
          </w:p>
          <w:p w14:paraId="7462C7B8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Q&amp;A throughout the lesson and in the plenary </w:t>
            </w:r>
          </w:p>
          <w:p w14:paraId="0C94D702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Mini-whiteboards </w:t>
            </w:r>
          </w:p>
          <w:p w14:paraId="45091043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Self and Peer assessment </w:t>
            </w:r>
          </w:p>
          <w:p w14:paraId="0889ED6E" w14:textId="0D38C1A7" w:rsidR="009C7EC0" w:rsidRPr="00D47BD0" w:rsidRDefault="00B951BE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Knowledge Tests</w:t>
            </w:r>
          </w:p>
          <w:p w14:paraId="6215E69C" w14:textId="4D07D772" w:rsidR="009C7EC0" w:rsidRDefault="00B951BE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10</w:t>
            </w:r>
            <w:r w:rsidR="00853774" w:rsidRPr="00D47BD0">
              <w:t>-</w:t>
            </w:r>
            <w:r w:rsidRPr="00D47BD0">
              <w:t>minute Tests</w:t>
            </w:r>
          </w:p>
          <w:p w14:paraId="40E114BE" w14:textId="2F2EE770" w:rsidR="000B3DE3" w:rsidRDefault="000B3DE3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 xml:space="preserve">Past Paper </w:t>
            </w:r>
            <w:r w:rsidR="0031477F">
              <w:t xml:space="preserve">Topic </w:t>
            </w:r>
            <w:r w:rsidRPr="00D47BD0">
              <w:t>Questions</w:t>
            </w:r>
          </w:p>
          <w:p w14:paraId="6A94BBED" w14:textId="77777777" w:rsidR="0031477F" w:rsidRDefault="0031477F" w:rsidP="0031477F">
            <w:pPr>
              <w:spacing w:after="0" w:line="240" w:lineRule="auto"/>
            </w:pPr>
          </w:p>
          <w:p w14:paraId="70E8BA53" w14:textId="537D8A29" w:rsidR="009C7EC0" w:rsidRPr="000B3DE3" w:rsidRDefault="009C7EC0" w:rsidP="000B3D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7EC0" w14:paraId="59EA6E3D" w14:textId="77777777" w:rsidTr="002B5A95">
        <w:trPr>
          <w:trHeight w:val="208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B51A" w14:textId="77777777" w:rsidR="009C7EC0" w:rsidRPr="00B21E53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B21E53">
              <w:rPr>
                <w:b/>
                <w:color w:val="FFFFFF"/>
                <w:sz w:val="24"/>
                <w:szCs w:val="24"/>
              </w:rPr>
              <w:t>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2643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Formal Assessment</w:t>
            </w:r>
          </w:p>
        </w:tc>
      </w:tr>
      <w:tr w:rsidR="009C7EC0" w14:paraId="3D4859AA" w14:textId="77777777" w:rsidTr="00154125">
        <w:trPr>
          <w:trHeight w:val="7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2C48" w14:textId="77777777" w:rsidR="009C7EC0" w:rsidRPr="00D47BD0" w:rsidRDefault="001E7FE3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D47BD0">
              <w:t>Maths Skills – Magnification calculation, graph drawing, interpretation of data.</w:t>
            </w:r>
          </w:p>
          <w:p w14:paraId="5AE119F3" w14:textId="77777777" w:rsidR="001E7FE3" w:rsidRPr="00D47BD0" w:rsidRDefault="001E7FE3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D47BD0">
              <w:t xml:space="preserve">Practical Skills – All students will complete the </w:t>
            </w:r>
          </w:p>
          <w:p w14:paraId="2E003DDB" w14:textId="77777777" w:rsidR="001E7FE3" w:rsidRPr="00D47BD0" w:rsidRDefault="001E7FE3" w:rsidP="00F701FE">
            <w:pPr>
              <w:pStyle w:val="ListParagraph"/>
              <w:spacing w:after="0" w:line="240" w:lineRule="auto"/>
            </w:pPr>
            <w:r w:rsidRPr="00D47BD0">
              <w:t xml:space="preserve">following required practical’s: </w:t>
            </w:r>
          </w:p>
          <w:p w14:paraId="4D29FE12" w14:textId="703534CC" w:rsidR="001E7FE3" w:rsidRDefault="00514B79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rPr>
                <w:b/>
              </w:rPr>
              <w:t xml:space="preserve">Required Practical 1: </w:t>
            </w:r>
            <w:r w:rsidR="00F701FE" w:rsidRPr="00BC1799">
              <w:rPr>
                <w:b/>
              </w:rPr>
              <w:t>Microscopy</w:t>
            </w:r>
            <w:r w:rsidR="00F701FE">
              <w:t xml:space="preserve"> -</w:t>
            </w:r>
            <w:r w:rsidR="001E7FE3" w:rsidRPr="00D47BD0">
              <w:t xml:space="preserve"> </w:t>
            </w:r>
            <w:r w:rsidR="00BC1799">
              <w:t>U</w:t>
            </w:r>
            <w:r w:rsidR="001E7FE3" w:rsidRPr="00D47BD0">
              <w:t xml:space="preserve">se a microscope to observe </w:t>
            </w:r>
            <w:r w:rsidR="00BC1799">
              <w:t xml:space="preserve">cells and sub cellular structures. The light microscope allows observation of plant and animal cells and can be used to estimate relative size of cells and some sub cellular structures. </w:t>
            </w:r>
          </w:p>
          <w:p w14:paraId="648E52F0" w14:textId="6B8FC00B" w:rsidR="0095218C" w:rsidRDefault="00514B79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rPr>
                <w:b/>
              </w:rPr>
              <w:t xml:space="preserve">Required Practical 2: </w:t>
            </w:r>
            <w:r w:rsidR="00BC1799" w:rsidRPr="00B01984">
              <w:rPr>
                <w:b/>
              </w:rPr>
              <w:t xml:space="preserve">Osmosis </w:t>
            </w:r>
            <w:r w:rsidR="00BC1799">
              <w:t xml:space="preserve">– Investigate how solution concentration affects percentage change in mass of potato strips due to osmosis. Osmosis is the diffusion of water from a dilute solution to a concentrated solution through a partially permeable membrane. </w:t>
            </w:r>
          </w:p>
          <w:p w14:paraId="2E5333BF" w14:textId="2DAF1DEB" w:rsidR="002956F4" w:rsidRPr="00154125" w:rsidRDefault="00154125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Arial" w:hAnsiTheme="minorHAnsi" w:cstheme="minorHAnsi"/>
                <w:szCs w:val="24"/>
              </w:rPr>
            </w:pPr>
            <w:r>
              <w:rPr>
                <w:rFonts w:asciiTheme="minorHAnsi" w:eastAsia="Arial" w:hAnsiTheme="minorHAnsi" w:cstheme="minorHAnsi"/>
                <w:szCs w:val="24"/>
              </w:rPr>
              <w:t>Design fair tests, c</w:t>
            </w:r>
            <w:r w:rsidRPr="00C81965">
              <w:rPr>
                <w:rFonts w:asciiTheme="minorHAnsi" w:eastAsia="Arial" w:hAnsiTheme="minorHAnsi" w:cstheme="minorHAnsi"/>
                <w:szCs w:val="24"/>
              </w:rPr>
              <w:t xml:space="preserve">arry out </w:t>
            </w:r>
            <w:r>
              <w:rPr>
                <w:rFonts w:asciiTheme="minorHAnsi" w:eastAsia="Arial" w:hAnsiTheme="minorHAnsi" w:cstheme="minorHAnsi"/>
                <w:szCs w:val="24"/>
              </w:rPr>
              <w:t>pra</w:t>
            </w:r>
            <w:r w:rsidRPr="00C81965">
              <w:rPr>
                <w:rFonts w:asciiTheme="minorHAnsi" w:eastAsia="Arial" w:hAnsiTheme="minorHAnsi" w:cstheme="minorHAnsi"/>
                <w:szCs w:val="24"/>
              </w:rPr>
              <w:t>ctical’s in a safe and effective way, us</w:t>
            </w:r>
            <w:r>
              <w:rPr>
                <w:rFonts w:asciiTheme="minorHAnsi" w:eastAsia="Arial" w:hAnsiTheme="minorHAnsi" w:cstheme="minorHAnsi"/>
                <w:szCs w:val="24"/>
              </w:rPr>
              <w:t>e</w:t>
            </w:r>
            <w:r w:rsidRPr="00C81965">
              <w:rPr>
                <w:rFonts w:asciiTheme="minorHAnsi" w:eastAsia="Arial" w:hAnsiTheme="minorHAnsi" w:cstheme="minorHAnsi"/>
                <w:szCs w:val="24"/>
              </w:rPr>
              <w:t xml:space="preserve"> apparatus safely</w:t>
            </w:r>
            <w:r>
              <w:rPr>
                <w:rFonts w:asciiTheme="minorHAnsi" w:eastAsia="Arial" w:hAnsiTheme="minorHAnsi" w:cstheme="minorHAnsi"/>
                <w:szCs w:val="24"/>
              </w:rPr>
              <w:t>.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337A" w14:textId="77777777" w:rsidR="009C7EC0" w:rsidRDefault="00B951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t>Half Termly Tests (past paper questions)</w:t>
            </w:r>
          </w:p>
        </w:tc>
      </w:tr>
      <w:tr w:rsidR="009C7EC0" w14:paraId="26B80657" w14:textId="77777777" w:rsidTr="002B5A95">
        <w:trPr>
          <w:trHeight w:val="25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8667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SEMH Curriculum Knowledge &amp; 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A6E0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Assessment of SEMH Development</w:t>
            </w:r>
          </w:p>
        </w:tc>
      </w:tr>
      <w:tr w:rsidR="009C7EC0" w14:paraId="59989A5B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228" w14:textId="4A0FF36F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lastRenderedPageBreak/>
              <w:t>Students are encouraged to be respectful to others and themselves and be respectful of their working environment.</w:t>
            </w:r>
          </w:p>
          <w:p w14:paraId="60FABBAB" w14:textId="304CBF29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actively participate in the lesson, both theoretically and practically.</w:t>
            </w:r>
          </w:p>
          <w:p w14:paraId="3391CB9D" w14:textId="1AAC6167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listen attentively and follow adult led direction.</w:t>
            </w:r>
          </w:p>
          <w:p w14:paraId="015AC184" w14:textId="1B956645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</w:t>
            </w:r>
            <w:r w:rsidR="00B951BE" w:rsidRPr="00D47BD0">
              <w:t xml:space="preserve"> </w:t>
            </w:r>
            <w:r w:rsidR="00853774" w:rsidRPr="00D47BD0">
              <w:t>self-confidence</w:t>
            </w:r>
            <w:r w:rsidR="00B951BE" w:rsidRPr="00D47BD0">
              <w:t xml:space="preserve"> </w:t>
            </w:r>
            <w:r>
              <w:t>and contribute appropriately to the lesson and working independently.</w:t>
            </w:r>
          </w:p>
          <w:p w14:paraId="46317314" w14:textId="104A9656" w:rsidR="009C7EC0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Students will develop </w:t>
            </w:r>
            <w:r w:rsidR="00B951BE" w:rsidRPr="00D47BD0">
              <w:t>social skills of working with others.</w:t>
            </w:r>
          </w:p>
          <w:p w14:paraId="187627FA" w14:textId="7D1B51B3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be encouraged to recap prior learning and talk through their work to embed learning.</w:t>
            </w:r>
          </w:p>
          <w:p w14:paraId="03A3EC67" w14:textId="77777777" w:rsidR="00A17FA5" w:rsidRDefault="00A17FA5" w:rsidP="00A17FA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 strategies to build resilience and improve their ability to keep on trying.</w:t>
            </w:r>
          </w:p>
          <w:p w14:paraId="29D6B04F" w14:textId="7F1C8193" w:rsidR="00A17FA5" w:rsidRPr="00D47BD0" w:rsidRDefault="00A17FA5" w:rsidP="00A17FA5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53EA" w14:textId="77777777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Reach to Teach Electronic Assessment</w:t>
            </w:r>
          </w:p>
          <w:p w14:paraId="7F86EB30" w14:textId="584AAF26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SALT Social Communication evidencing </w:t>
            </w:r>
          </w:p>
          <w:p w14:paraId="53BEF912" w14:textId="0C41EDC1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Art Therapy Exit Profile Evidence</w:t>
            </w:r>
          </w:p>
          <w:p w14:paraId="1DA2E277" w14:textId="77777777" w:rsidR="00A17FA5" w:rsidRPr="00A17FA5" w:rsidRDefault="00A17FA5" w:rsidP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Key Work Exit Profile Evidence </w:t>
            </w:r>
          </w:p>
          <w:p w14:paraId="2C4CBBE8" w14:textId="4F6981BC" w:rsidR="00A17FA5" w:rsidRPr="00A17FA5" w:rsidRDefault="00A17FA5" w:rsidP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SIMs Achievement/Behaviour log</w:t>
            </w:r>
          </w:p>
        </w:tc>
      </w:tr>
      <w:tr w:rsidR="009C7EC0" w14:paraId="0993872F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2FF9" w14:textId="77777777" w:rsidR="009C7EC0" w:rsidRDefault="00B951BE">
            <w:pPr>
              <w:spacing w:after="0" w:line="240" w:lineRule="auto"/>
            </w:pPr>
            <w:r>
              <w:rPr>
                <w:b/>
                <w:color w:val="FFFFFF"/>
                <w:sz w:val="28"/>
                <w:szCs w:val="28"/>
              </w:rPr>
              <w:t>How Can Families Help at Home?</w:t>
            </w:r>
          </w:p>
        </w:tc>
      </w:tr>
      <w:tr w:rsidR="009C7EC0" w14:paraId="5FFE21FC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9E5A" w14:textId="5111108A" w:rsidR="00A17FA5" w:rsidRDefault="00A17FA5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success in progress and achievement</w:t>
            </w:r>
          </w:p>
          <w:p w14:paraId="16B45EF1" w14:textId="6C40221D" w:rsidR="00A17FA5" w:rsidRDefault="00A17FA5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school rules and expectations</w:t>
            </w:r>
            <w:r w:rsidR="005871A4">
              <w:rPr>
                <w:sz w:val="24"/>
                <w:szCs w:val="24"/>
              </w:rPr>
              <w:t xml:space="preserve"> and share any relevant information </w:t>
            </w:r>
          </w:p>
          <w:p w14:paraId="54E0EB73" w14:textId="6FB79914" w:rsidR="009C7EC0" w:rsidRPr="00B21E53" w:rsidRDefault="00B951BE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Utilising revision guides and workbooks that students have been provided with</w:t>
            </w:r>
          </w:p>
          <w:p w14:paraId="0B0D40B3" w14:textId="35717CAB" w:rsidR="009C7EC0" w:rsidRDefault="00B951BE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Using the following website links to encourage home learning and revision</w:t>
            </w:r>
            <w:r w:rsidR="005871A4">
              <w:rPr>
                <w:sz w:val="24"/>
                <w:szCs w:val="24"/>
              </w:rPr>
              <w:t>:</w:t>
            </w:r>
          </w:p>
          <w:p w14:paraId="5DC882D0" w14:textId="77777777" w:rsidR="0031477F" w:rsidRDefault="0031477F" w:rsidP="0031477F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14:paraId="7C9D59CF" w14:textId="1B2DAD6B" w:rsidR="005871A4" w:rsidRDefault="005871A4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AQA GCSE Combined Science - Trilogy</w:t>
            </w:r>
          </w:p>
          <w:p w14:paraId="0E1BF71E" w14:textId="77777777" w:rsidR="005871A4" w:rsidRDefault="005871A4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*Free homework &amp; revision for GCSE – </w:t>
            </w:r>
            <w:r w:rsidRPr="00E4587E">
              <w:rPr>
                <w:b/>
                <w:sz w:val="24"/>
                <w:szCs w:val="24"/>
              </w:rPr>
              <w:t>Seneca Learning</w:t>
            </w:r>
          </w:p>
          <w:p w14:paraId="61E403ED" w14:textId="77777777" w:rsidR="005871A4" w:rsidRDefault="005871A4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(AQA Combined Science/Science </w:t>
            </w:r>
            <w:proofErr w:type="spellStart"/>
            <w:r>
              <w:rPr>
                <w:sz w:val="24"/>
                <w:szCs w:val="24"/>
              </w:rPr>
              <w:t>Practicals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14:paraId="1B744E57" w14:textId="4262B51E" w:rsidR="005871A4" w:rsidRDefault="00323B89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hyperlink r:id="rId10" w:history="1">
              <w:r w:rsidR="005871A4" w:rsidRPr="00905455">
                <w:rPr>
                  <w:rStyle w:val="Hyperlink"/>
                  <w:sz w:val="24"/>
                  <w:szCs w:val="24"/>
                </w:rPr>
                <w:t>https://app.senecalearning.com/courses?Price=Free</w:t>
              </w:r>
            </w:hyperlink>
          </w:p>
          <w:p w14:paraId="57EE2B82" w14:textId="77777777" w:rsidR="005871A4" w:rsidRDefault="005871A4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*Free revision for GCSE – </w:t>
            </w:r>
            <w:r w:rsidRPr="00E4587E">
              <w:rPr>
                <w:b/>
                <w:sz w:val="24"/>
                <w:szCs w:val="24"/>
              </w:rPr>
              <w:t>Cognito</w:t>
            </w:r>
          </w:p>
          <w:p w14:paraId="6707F423" w14:textId="77777777" w:rsidR="005871A4" w:rsidRDefault="005871A4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my course-GCSE-Combined Science-AQA-foundation</w:t>
            </w:r>
          </w:p>
          <w:p w14:paraId="7639251C" w14:textId="5FCB122B" w:rsidR="005871A4" w:rsidRDefault="00323B89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hyperlink r:id="rId11" w:history="1">
              <w:r w:rsidR="005871A4" w:rsidRPr="00905455">
                <w:rPr>
                  <w:rStyle w:val="Hyperlink"/>
                  <w:sz w:val="24"/>
                  <w:szCs w:val="24"/>
                </w:rPr>
                <w:t>https://cognitoedu.org/home</w:t>
              </w:r>
            </w:hyperlink>
          </w:p>
          <w:p w14:paraId="09519823" w14:textId="77777777" w:rsidR="005871A4" w:rsidRDefault="005871A4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*GCSE Combined Science - AQA Trilogy – </w:t>
            </w:r>
            <w:r w:rsidRPr="00E4587E">
              <w:rPr>
                <w:b/>
                <w:sz w:val="24"/>
                <w:szCs w:val="24"/>
              </w:rPr>
              <w:t>BBC Bitesize</w:t>
            </w:r>
          </w:p>
          <w:p w14:paraId="1A463F06" w14:textId="77777777" w:rsidR="005871A4" w:rsidRDefault="005871A4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BBC Bitesize (AQA)</w:t>
            </w:r>
          </w:p>
          <w:p w14:paraId="13EC8786" w14:textId="77777777" w:rsidR="005871A4" w:rsidRDefault="00323B89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hyperlink r:id="rId12" w:history="1">
              <w:r w:rsidR="005871A4" w:rsidRPr="00905455">
                <w:rPr>
                  <w:rStyle w:val="Hyperlink"/>
                  <w:sz w:val="24"/>
                  <w:szCs w:val="24"/>
                </w:rPr>
                <w:t>https://www.bbc.co.uk/bitesize/examspecs/z8r997h</w:t>
              </w:r>
            </w:hyperlink>
          </w:p>
          <w:p w14:paraId="60061E4C" w14:textId="77777777" w:rsidR="00C45A47" w:rsidRDefault="00C45A47" w:rsidP="005871A4">
            <w:pPr>
              <w:spacing w:after="0" w:line="240" w:lineRule="auto"/>
            </w:pPr>
          </w:p>
        </w:tc>
      </w:tr>
      <w:tr w:rsidR="009C7EC0" w14:paraId="577D85F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153B" w14:textId="77777777" w:rsidR="009C7EC0" w:rsidRDefault="00B951BE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28"/>
                <w:szCs w:val="28"/>
                <w:lang w:val="en-US"/>
              </w:rPr>
              <w:t>Helpful Further Reading/Discussion (including Reading and Vocabulary Lists)</w:t>
            </w:r>
          </w:p>
        </w:tc>
      </w:tr>
      <w:tr w:rsidR="009C7EC0" w14:paraId="74B2F6B8" w14:textId="77777777" w:rsidTr="002B5A95">
        <w:trPr>
          <w:trHeight w:val="26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0F4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Reading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1CE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Vocabulary Lists</w:t>
            </w:r>
          </w:p>
        </w:tc>
      </w:tr>
      <w:tr w:rsidR="009C7EC0" w14:paraId="4C09A977" w14:textId="77777777" w:rsidTr="002B5A95">
        <w:trPr>
          <w:trHeight w:val="80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F262" w14:textId="77777777" w:rsidR="009C7EC0" w:rsidRPr="00B21E53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CGP Revision Guides</w:t>
            </w:r>
          </w:p>
          <w:p w14:paraId="457DB0D0" w14:textId="77777777" w:rsidR="009C7EC0" w:rsidRPr="00B21E53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CGP Workbooks</w:t>
            </w:r>
          </w:p>
          <w:p w14:paraId="3DEEC669" w14:textId="6FF9849D" w:rsidR="009C7EC0" w:rsidRPr="005F0833" w:rsidRDefault="00B951BE" w:rsidP="005F08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AQA GCSE Student Books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B67F" w14:textId="1E7804D6" w:rsidR="0031477F" w:rsidRPr="007F50FA" w:rsidRDefault="007F50FA" w:rsidP="007F50FA">
            <w:pPr>
              <w:spacing w:after="0" w:line="240" w:lineRule="auto"/>
              <w:rPr>
                <w:rFonts w:asciiTheme="minorHAnsi" w:hAnsiTheme="minorHAnsi" w:cstheme="minorHAnsi"/>
                <w:color w:val="001D35"/>
                <w:szCs w:val="2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Microscope, magnification, resolution, </w:t>
            </w:r>
            <w:r w:rsidR="0031477F" w:rsidRPr="0031477F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eukaryotic cell, prokaryotic cell, </w:t>
            </w:r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plasmid, </w:t>
            </w:r>
            <w:r w:rsidR="0031477F" w:rsidRPr="0031477F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cell membrane, </w:t>
            </w:r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cell wall, </w:t>
            </w:r>
            <w:r w:rsidR="0031477F" w:rsidRPr="0031477F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nucleus, cytoplasm, mitochondria, </w:t>
            </w:r>
            <w:proofErr w:type="gramStart"/>
            <w:r w:rsidR="0031477F" w:rsidRPr="0031477F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>ribosome,  vacuole</w:t>
            </w:r>
            <w:proofErr w:type="gramEnd"/>
            <w:r w:rsidR="0031477F" w:rsidRPr="0031477F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, </w:t>
            </w:r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>chloroplast,</w:t>
            </w:r>
            <w:r w:rsidR="004028B0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 cellulose, </w:t>
            </w:r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chromosomes, </w:t>
            </w:r>
            <w:r w:rsidR="0031477F" w:rsidRPr="0031477F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diffusion, osmosis, active transport, </w:t>
            </w:r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energy, concentration gradient, surface area, volume, mitosis, stem cells, </w:t>
            </w:r>
            <w:r w:rsidR="0031477F" w:rsidRPr="0031477F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>specialized cells</w:t>
            </w:r>
          </w:p>
          <w:p w14:paraId="75CBE9B1" w14:textId="697691C9" w:rsidR="0095218C" w:rsidRPr="0031477F" w:rsidRDefault="0095218C" w:rsidP="003147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FB0818" w14:textId="77777777" w:rsidR="009C7EC0" w:rsidRDefault="009C7EC0"/>
    <w:sectPr w:rsidR="009C7EC0">
      <w:headerReference w:type="default" r:id="rId13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31CB" w14:textId="77777777" w:rsidR="00E50808" w:rsidRDefault="00B951BE">
      <w:pPr>
        <w:spacing w:after="0" w:line="240" w:lineRule="auto"/>
      </w:pPr>
      <w:r>
        <w:separator/>
      </w:r>
    </w:p>
  </w:endnote>
  <w:endnote w:type="continuationSeparator" w:id="0">
    <w:p w14:paraId="53128261" w14:textId="77777777" w:rsidR="00E50808" w:rsidRDefault="00B9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6C05" w14:textId="77777777" w:rsidR="00E50808" w:rsidRDefault="00B951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01652C" w14:textId="77777777" w:rsidR="00E50808" w:rsidRDefault="00B9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42198" w14:textId="77777777" w:rsidR="00EF2358" w:rsidRDefault="00B951BE">
    <w:pPr>
      <w:pStyle w:val="Header"/>
    </w:pPr>
    <w:r>
      <w:rPr>
        <w:rFonts w:ascii="Arial" w:hAnsi="Arial" w:cs="Arial"/>
        <w:b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516888D5" wp14:editId="07777777">
          <wp:simplePos x="0" y="0"/>
          <wp:positionH relativeFrom="margin">
            <wp:posOffset>6153153</wp:posOffset>
          </wp:positionH>
          <wp:positionV relativeFrom="paragraph">
            <wp:posOffset>-421008</wp:posOffset>
          </wp:positionV>
          <wp:extent cx="790571" cy="790571"/>
          <wp:effectExtent l="0" t="0" r="0" b="0"/>
          <wp:wrapTight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ight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2060"/>
        <w:sz w:val="32"/>
        <w:szCs w:val="32"/>
      </w:rPr>
      <w:t>Central Hub Brighton – Curriculum Topic Information Sheet</w:t>
    </w:r>
  </w:p>
  <w:p w14:paraId="4B99056E" w14:textId="77777777" w:rsidR="00EF2358" w:rsidRDefault="00EF2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13A1"/>
    <w:multiLevelType w:val="multilevel"/>
    <w:tmpl w:val="5EF447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F27504"/>
    <w:multiLevelType w:val="multilevel"/>
    <w:tmpl w:val="DB7A6F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483E6C"/>
    <w:multiLevelType w:val="multilevel"/>
    <w:tmpl w:val="EB025D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A226E2"/>
    <w:multiLevelType w:val="hybridMultilevel"/>
    <w:tmpl w:val="23E2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7B3B"/>
    <w:multiLevelType w:val="hybridMultilevel"/>
    <w:tmpl w:val="948EB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63E2"/>
    <w:multiLevelType w:val="hybridMultilevel"/>
    <w:tmpl w:val="4FB8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6438D"/>
    <w:multiLevelType w:val="multilevel"/>
    <w:tmpl w:val="73AAD2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AA75714"/>
    <w:multiLevelType w:val="multilevel"/>
    <w:tmpl w:val="B23EA6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C9E3721"/>
    <w:multiLevelType w:val="multilevel"/>
    <w:tmpl w:val="3C722E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D7E3B1F"/>
    <w:multiLevelType w:val="multilevel"/>
    <w:tmpl w:val="A89AA9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72492F09"/>
    <w:multiLevelType w:val="multilevel"/>
    <w:tmpl w:val="72D01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C0"/>
    <w:rsid w:val="000B3DE3"/>
    <w:rsid w:val="000E69C2"/>
    <w:rsid w:val="00113417"/>
    <w:rsid w:val="001444C4"/>
    <w:rsid w:val="00154125"/>
    <w:rsid w:val="001E7FE3"/>
    <w:rsid w:val="002956F4"/>
    <w:rsid w:val="002B5A95"/>
    <w:rsid w:val="002C107A"/>
    <w:rsid w:val="0031477F"/>
    <w:rsid w:val="00323B89"/>
    <w:rsid w:val="00363114"/>
    <w:rsid w:val="004028B0"/>
    <w:rsid w:val="00437ACE"/>
    <w:rsid w:val="00460961"/>
    <w:rsid w:val="004949C3"/>
    <w:rsid w:val="004E1C70"/>
    <w:rsid w:val="00511EA5"/>
    <w:rsid w:val="00514B79"/>
    <w:rsid w:val="00520C20"/>
    <w:rsid w:val="00520E9A"/>
    <w:rsid w:val="00534F86"/>
    <w:rsid w:val="00565C69"/>
    <w:rsid w:val="005871A4"/>
    <w:rsid w:val="005D353B"/>
    <w:rsid w:val="005F0833"/>
    <w:rsid w:val="00672DA4"/>
    <w:rsid w:val="007A7746"/>
    <w:rsid w:val="007F50FA"/>
    <w:rsid w:val="00820769"/>
    <w:rsid w:val="00832FE7"/>
    <w:rsid w:val="00853774"/>
    <w:rsid w:val="00872742"/>
    <w:rsid w:val="009126A4"/>
    <w:rsid w:val="00920A68"/>
    <w:rsid w:val="00950F4C"/>
    <w:rsid w:val="0095218C"/>
    <w:rsid w:val="009C7EC0"/>
    <w:rsid w:val="00A17FA5"/>
    <w:rsid w:val="00A704B3"/>
    <w:rsid w:val="00A71FFE"/>
    <w:rsid w:val="00A9757C"/>
    <w:rsid w:val="00B01984"/>
    <w:rsid w:val="00B21E53"/>
    <w:rsid w:val="00B31690"/>
    <w:rsid w:val="00B951BE"/>
    <w:rsid w:val="00BC1799"/>
    <w:rsid w:val="00C45A47"/>
    <w:rsid w:val="00D205BE"/>
    <w:rsid w:val="00D47BD0"/>
    <w:rsid w:val="00D811F3"/>
    <w:rsid w:val="00D9459D"/>
    <w:rsid w:val="00DA2B57"/>
    <w:rsid w:val="00DA45AE"/>
    <w:rsid w:val="00DB7D13"/>
    <w:rsid w:val="00E50808"/>
    <w:rsid w:val="00EF2358"/>
    <w:rsid w:val="00F701FE"/>
    <w:rsid w:val="00FA0865"/>
    <w:rsid w:val="02182481"/>
    <w:rsid w:val="0378B40D"/>
    <w:rsid w:val="200A687B"/>
    <w:rsid w:val="20130ABF"/>
    <w:rsid w:val="283E1256"/>
    <w:rsid w:val="35594C87"/>
    <w:rsid w:val="427FEC20"/>
    <w:rsid w:val="4736B333"/>
    <w:rsid w:val="48B13BE6"/>
    <w:rsid w:val="5B6488D8"/>
    <w:rsid w:val="5E063018"/>
    <w:rsid w:val="70BEE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85EC"/>
  <w15:docId w15:val="{9AFCE49C-DB3D-40ED-B2AD-04404600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E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D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7FA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examspecs/z8r997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gnitoedu.org/hom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pp.senecalearning.com/courses?Price=Fr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8c7e0-cfdf-4228-8a46-dfe74250b44f" xsi:nil="true"/>
    <lcf76f155ced4ddcb4097134ff3c332f xmlns="9696e48e-22cb-4ff3-8862-be91ab82f4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ECE0EC4995840B2880B0A56052D0B" ma:contentTypeVersion="17" ma:contentTypeDescription="Create a new document." ma:contentTypeScope="" ma:versionID="af136748783f91a54cd4dc0453fa8a6e">
  <xsd:schema xmlns:xsd="http://www.w3.org/2001/XMLSchema" xmlns:xs="http://www.w3.org/2001/XMLSchema" xmlns:p="http://schemas.microsoft.com/office/2006/metadata/properties" xmlns:ns2="9696e48e-22cb-4ff3-8862-be91ab82f42d" xmlns:ns3="d4d8c7e0-cfdf-4228-8a46-dfe74250b44f" targetNamespace="http://schemas.microsoft.com/office/2006/metadata/properties" ma:root="true" ma:fieldsID="ecc9753d3f0161c813519f4b5e3ff2ad" ns2:_="" ns3:_="">
    <xsd:import namespace="9696e48e-22cb-4ff3-8862-be91ab82f42d"/>
    <xsd:import namespace="d4d8c7e0-cfdf-4228-8a46-dfe74250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e48e-22cb-4ff3-8862-be91ab82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73b08c-c75d-41b0-92d9-e01480060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7e0-cfdf-4228-8a46-dfe74250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03e47a-82d9-474a-a44a-bff36d3245b6}" ma:internalName="TaxCatchAll" ma:showField="CatchAllData" ma:web="d4d8c7e0-cfdf-4228-8a46-dfe74250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3653C-DAB7-49FA-8E56-7B6BFD60C358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4d8c7e0-cfdf-4228-8a46-dfe74250b44f"/>
    <ds:schemaRef ds:uri="9696e48e-22cb-4ff3-8862-be91ab82f42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30ACE2-32F1-497B-B499-B9B97DDCD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4794-A5BF-4343-95B6-B87CF3E99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e48e-22cb-4ff3-8862-be91ab82f42d"/>
    <ds:schemaRef ds:uri="d4d8c7e0-cfdf-4228-8a46-dfe74250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Meier</dc:creator>
  <cp:keywords/>
  <dc:description/>
  <cp:lastModifiedBy>Lou Acton</cp:lastModifiedBy>
  <cp:revision>12</cp:revision>
  <cp:lastPrinted>2024-02-02T14:30:00Z</cp:lastPrinted>
  <dcterms:created xsi:type="dcterms:W3CDTF">2025-04-23T09:57:00Z</dcterms:created>
  <dcterms:modified xsi:type="dcterms:W3CDTF">2025-05-20T09:09:00Z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0x010100555ECE0EC4995840B2880B0A56052D0B</vt:lpwstr>
  </property>
  <property fmtid="{D5CDD505-2E9C-101B-9397-08002B2CF9AE}" pid="3" name="MediaServiceImageTags">
    <vt:lpwstr/>
  </property>
</Properties>
</file>